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98" w:rsidRDefault="005D43B8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 xml:space="preserve">Приложение </w:t>
      </w:r>
    </w:p>
    <w:p w:rsidR="003C5D46" w:rsidRPr="00103821" w:rsidRDefault="005D43B8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 xml:space="preserve">к </w:t>
      </w:r>
      <w:r w:rsidR="00BD67CF" w:rsidRPr="00103821">
        <w:rPr>
          <w:rFonts w:ascii="PT Astra Serif" w:hAnsi="PT Astra Serif"/>
          <w:bCs/>
          <w:szCs w:val="28"/>
        </w:rPr>
        <w:t>постановлени</w:t>
      </w:r>
      <w:r>
        <w:rPr>
          <w:rFonts w:ascii="PT Astra Serif" w:hAnsi="PT Astra Serif"/>
          <w:bCs/>
          <w:szCs w:val="28"/>
        </w:rPr>
        <w:t xml:space="preserve">ю </w:t>
      </w:r>
      <w:r w:rsidR="00BD67CF" w:rsidRPr="00103821">
        <w:rPr>
          <w:rFonts w:ascii="PT Astra Serif" w:hAnsi="PT Astra Serif"/>
          <w:bCs/>
          <w:szCs w:val="28"/>
        </w:rPr>
        <w:t>Правительства Саратовской области</w:t>
      </w:r>
    </w:p>
    <w:p w:rsidR="003C5D46" w:rsidRDefault="00BD67CF">
      <w:pPr>
        <w:ind w:left="4820"/>
        <w:rPr>
          <w:rFonts w:ascii="PT Astra Serif" w:hAnsi="PT Astra Serif"/>
          <w:bCs/>
          <w:szCs w:val="28"/>
        </w:rPr>
      </w:pPr>
      <w:r w:rsidRPr="00103821">
        <w:rPr>
          <w:rFonts w:ascii="PT Astra Serif" w:hAnsi="PT Astra Serif"/>
          <w:bCs/>
          <w:szCs w:val="28"/>
        </w:rPr>
        <w:t xml:space="preserve">от </w:t>
      </w:r>
      <w:r w:rsidR="000D3814">
        <w:rPr>
          <w:rFonts w:ascii="PT Astra Serif" w:hAnsi="PT Astra Serif"/>
          <w:bCs/>
          <w:szCs w:val="28"/>
        </w:rPr>
        <w:t>____________202</w:t>
      </w:r>
      <w:r w:rsidR="00A0314B">
        <w:rPr>
          <w:rFonts w:ascii="PT Astra Serif" w:hAnsi="PT Astra Serif"/>
          <w:bCs/>
          <w:szCs w:val="28"/>
        </w:rPr>
        <w:t>__</w:t>
      </w:r>
      <w:r w:rsidR="000D3814">
        <w:rPr>
          <w:rFonts w:ascii="PT Astra Serif" w:hAnsi="PT Astra Serif"/>
          <w:bCs/>
          <w:szCs w:val="28"/>
        </w:rPr>
        <w:t xml:space="preserve"> года</w:t>
      </w:r>
      <w:r w:rsidRPr="00103821">
        <w:rPr>
          <w:rFonts w:ascii="PT Astra Serif" w:hAnsi="PT Astra Serif"/>
          <w:bCs/>
          <w:szCs w:val="28"/>
        </w:rPr>
        <w:t xml:space="preserve"> №</w:t>
      </w:r>
      <w:r w:rsidR="000D3814">
        <w:rPr>
          <w:rFonts w:ascii="PT Astra Serif" w:hAnsi="PT Astra Serif"/>
          <w:bCs/>
          <w:szCs w:val="28"/>
        </w:rPr>
        <w:t>____</w:t>
      </w:r>
    </w:p>
    <w:p w:rsidR="00323288" w:rsidRDefault="00323288">
      <w:pPr>
        <w:ind w:left="4820"/>
        <w:rPr>
          <w:rFonts w:ascii="PT Astra Serif" w:hAnsi="PT Astra Serif"/>
          <w:bCs/>
          <w:szCs w:val="28"/>
        </w:rPr>
      </w:pPr>
    </w:p>
    <w:p w:rsidR="001A4120" w:rsidRDefault="001A4120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>«УТВЕРЖДЕНО</w:t>
      </w:r>
    </w:p>
    <w:p w:rsidR="001A4120" w:rsidRDefault="001A4120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>постановлением Правительства</w:t>
      </w:r>
    </w:p>
    <w:p w:rsidR="001A4120" w:rsidRDefault="001A4120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>Саратовской области</w:t>
      </w:r>
    </w:p>
    <w:p w:rsidR="001A4120" w:rsidRPr="00103821" w:rsidRDefault="001A4120">
      <w:pPr>
        <w:ind w:left="4820"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>от</w:t>
      </w:r>
      <w:r w:rsidR="000D3814">
        <w:rPr>
          <w:rFonts w:ascii="PT Astra Serif" w:hAnsi="PT Astra Serif"/>
          <w:bCs/>
          <w:szCs w:val="28"/>
        </w:rPr>
        <w:t xml:space="preserve"> 21 января </w:t>
      </w:r>
      <w:r>
        <w:rPr>
          <w:rFonts w:ascii="PT Astra Serif" w:hAnsi="PT Astra Serif"/>
          <w:bCs/>
          <w:szCs w:val="28"/>
        </w:rPr>
        <w:t>2022 года №</w:t>
      </w:r>
      <w:r w:rsidR="000D3814">
        <w:rPr>
          <w:rFonts w:ascii="PT Astra Serif" w:hAnsi="PT Astra Serif"/>
          <w:bCs/>
          <w:szCs w:val="28"/>
        </w:rPr>
        <w:t xml:space="preserve"> 16-П</w:t>
      </w:r>
      <w:r>
        <w:rPr>
          <w:rFonts w:ascii="PT Astra Serif" w:hAnsi="PT Astra Serif"/>
          <w:bCs/>
          <w:szCs w:val="28"/>
        </w:rPr>
        <w:t xml:space="preserve"> </w:t>
      </w:r>
    </w:p>
    <w:p w:rsidR="003C5D46" w:rsidRPr="00103821" w:rsidRDefault="003C5D46">
      <w:pPr>
        <w:ind w:left="4820"/>
        <w:rPr>
          <w:rFonts w:ascii="PT Astra Serif" w:hAnsi="PT Astra Serif"/>
          <w:bCs/>
          <w:szCs w:val="28"/>
        </w:rPr>
      </w:pPr>
    </w:p>
    <w:p w:rsidR="003C5D46" w:rsidRPr="00103821" w:rsidRDefault="003C5D46" w:rsidP="000C27A7">
      <w:pPr>
        <w:spacing w:line="235" w:lineRule="auto"/>
        <w:jc w:val="center"/>
        <w:rPr>
          <w:rFonts w:ascii="PT Astra Serif" w:hAnsi="PT Astra Serif"/>
          <w:b/>
          <w:bCs/>
          <w:szCs w:val="28"/>
        </w:rPr>
      </w:pPr>
    </w:p>
    <w:p w:rsidR="004D49D2" w:rsidRPr="00103821" w:rsidRDefault="00BD67CF" w:rsidP="000C27A7">
      <w:pPr>
        <w:spacing w:line="235" w:lineRule="auto"/>
        <w:jc w:val="center"/>
        <w:rPr>
          <w:rFonts w:ascii="PT Astra Serif" w:hAnsi="PT Astra Serif"/>
          <w:b/>
          <w:bCs/>
          <w:spacing w:val="-4"/>
          <w:szCs w:val="28"/>
        </w:rPr>
      </w:pPr>
      <w:r w:rsidRPr="00103821">
        <w:rPr>
          <w:rFonts w:ascii="PT Astra Serif" w:hAnsi="PT Astra Serif"/>
          <w:b/>
          <w:bCs/>
          <w:spacing w:val="-4"/>
          <w:szCs w:val="28"/>
        </w:rPr>
        <w:t xml:space="preserve">Положение о методике распределения дотации бюджетам </w:t>
      </w:r>
    </w:p>
    <w:p w:rsidR="004D49D2" w:rsidRPr="00103821" w:rsidRDefault="00BD67CF" w:rsidP="000C27A7">
      <w:pPr>
        <w:spacing w:line="235" w:lineRule="auto"/>
        <w:jc w:val="center"/>
        <w:rPr>
          <w:rFonts w:ascii="PT Astra Serif" w:hAnsi="PT Astra Serif"/>
          <w:b/>
          <w:bCs/>
          <w:spacing w:val="-4"/>
          <w:szCs w:val="28"/>
        </w:rPr>
      </w:pPr>
      <w:r w:rsidRPr="00103821">
        <w:rPr>
          <w:rFonts w:ascii="PT Astra Serif" w:hAnsi="PT Astra Serif"/>
          <w:b/>
          <w:bCs/>
          <w:spacing w:val="-4"/>
          <w:szCs w:val="28"/>
        </w:rPr>
        <w:t>муниципальных районов и городских округов области на поддержку мер по обеспечению сбалансированности местных бюджетов</w:t>
      </w:r>
      <w:r w:rsidR="002C74F7" w:rsidRPr="00103821">
        <w:rPr>
          <w:rFonts w:ascii="PT Astra Serif" w:hAnsi="PT Astra Serif"/>
          <w:b/>
          <w:bCs/>
          <w:spacing w:val="-4"/>
          <w:szCs w:val="28"/>
        </w:rPr>
        <w:t xml:space="preserve"> </w:t>
      </w:r>
      <w:r w:rsidRPr="00103821">
        <w:rPr>
          <w:rFonts w:ascii="PT Astra Serif" w:hAnsi="PT Astra Serif"/>
          <w:b/>
          <w:bCs/>
          <w:spacing w:val="-4"/>
          <w:szCs w:val="28"/>
        </w:rPr>
        <w:t xml:space="preserve">и </w:t>
      </w:r>
    </w:p>
    <w:p w:rsidR="003C5D46" w:rsidRPr="00103821" w:rsidRDefault="00BD67CF" w:rsidP="000C27A7">
      <w:pPr>
        <w:spacing w:line="235" w:lineRule="auto"/>
        <w:jc w:val="center"/>
        <w:rPr>
          <w:rFonts w:ascii="PT Astra Serif" w:hAnsi="PT Astra Serif"/>
          <w:b/>
          <w:bCs/>
          <w:spacing w:val="-4"/>
          <w:szCs w:val="28"/>
        </w:rPr>
      </w:pPr>
      <w:proofErr w:type="gramStart"/>
      <w:r w:rsidRPr="00103821">
        <w:rPr>
          <w:rFonts w:ascii="PT Astra Serif" w:hAnsi="PT Astra Serif"/>
          <w:b/>
          <w:bCs/>
          <w:spacing w:val="-4"/>
          <w:szCs w:val="28"/>
        </w:rPr>
        <w:t>правилах</w:t>
      </w:r>
      <w:proofErr w:type="gramEnd"/>
      <w:r w:rsidRPr="00103821">
        <w:rPr>
          <w:rFonts w:ascii="PT Astra Serif" w:hAnsi="PT Astra Serif"/>
          <w:b/>
          <w:bCs/>
          <w:spacing w:val="-4"/>
          <w:szCs w:val="28"/>
        </w:rPr>
        <w:t xml:space="preserve"> ее</w:t>
      </w:r>
      <w:r w:rsidR="00432C0D" w:rsidRPr="00103821">
        <w:rPr>
          <w:rFonts w:ascii="PT Astra Serif" w:hAnsi="PT Astra Serif"/>
          <w:b/>
          <w:bCs/>
          <w:spacing w:val="-4"/>
          <w:szCs w:val="28"/>
        </w:rPr>
        <w:t xml:space="preserve"> </w:t>
      </w:r>
      <w:r w:rsidRPr="00103821">
        <w:rPr>
          <w:rFonts w:ascii="PT Astra Serif" w:hAnsi="PT Astra Serif"/>
          <w:b/>
          <w:bCs/>
          <w:spacing w:val="-4"/>
          <w:szCs w:val="28"/>
        </w:rPr>
        <w:t xml:space="preserve">предоставления из областного бюджета </w:t>
      </w:r>
    </w:p>
    <w:p w:rsidR="00E84402" w:rsidRPr="00103821" w:rsidRDefault="00E84402" w:rsidP="00E84402">
      <w:pPr>
        <w:spacing w:line="235" w:lineRule="auto"/>
        <w:jc w:val="center"/>
        <w:rPr>
          <w:rFonts w:ascii="PT Astra Serif" w:hAnsi="PT Astra Serif"/>
          <w:b/>
          <w:bCs/>
          <w:spacing w:val="-4"/>
          <w:szCs w:val="28"/>
        </w:rPr>
      </w:pP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1. Настоящее Положение определяет методику распределения и правила предоставления из областного бюджета дотации бюджетам муниципальных районов и городских округов области на поддержку мер по обеспечению сбалансированности местных бюджетов (далее - дотация на сбалансированность).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2. Дотация на сбалансированность предусматривается в областном бюджете в целях оказания финансовой помощи бюджетам муниципальных районов и городских округов области для реализации ими полномочий по решению вопросов местного значения.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3. Дотация на сбалансированность предоставляется муниципальным районам и городским округам области, соответствующим хотя бы одному из следующих условий: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превышение оценки прогнозных объемов расходов на очередной финансовый год, проведенной в соответствии с методикой оценки объемов расходов местных бюджетов на очередной финансовый год и на плановый период, предусмотренной </w:t>
      </w:r>
      <w:hyperlink r:id="rId9">
        <w:r w:rsidRPr="000726DC">
          <w:rPr>
            <w:rFonts w:ascii="PT Astra Serif" w:hAnsi="PT Astra Serif" w:cs="Droid Sans Devanagari"/>
            <w:bCs/>
            <w:sz w:val="28"/>
            <w:szCs w:val="28"/>
          </w:rPr>
          <w:t>постановлением</w:t>
        </w:r>
      </w:hyperlink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Правительства Саратовской области от 11 январ</w:t>
      </w:r>
      <w:bookmarkStart w:id="0" w:name="_GoBack"/>
      <w:bookmarkEnd w:id="0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я 2013 года </w:t>
      </w:r>
      <w:r>
        <w:rPr>
          <w:rFonts w:ascii="PT Astra Serif" w:hAnsi="PT Astra Serif" w:cs="Droid Sans Devanagari"/>
          <w:bCs/>
          <w:sz w:val="28"/>
          <w:szCs w:val="28"/>
        </w:rPr>
        <w:t>№ 1-П «</w:t>
      </w:r>
      <w:r w:rsidRPr="000726DC">
        <w:rPr>
          <w:rFonts w:ascii="PT Astra Serif" w:hAnsi="PT Astra Serif" w:cs="Droid Sans Devanagari"/>
          <w:bCs/>
          <w:sz w:val="28"/>
          <w:szCs w:val="28"/>
        </w:rPr>
        <w:t>Об утверждении Положения о порядке разработки проекта закона области об областном бюджете на очередной финансовый год и на плановый период</w:t>
      </w:r>
      <w:r>
        <w:rPr>
          <w:rFonts w:ascii="PT Astra Serif" w:hAnsi="PT Astra Serif" w:cs="Droid Sans Devanagari"/>
          <w:bCs/>
          <w:sz w:val="28"/>
          <w:szCs w:val="28"/>
        </w:rPr>
        <w:t>»</w:t>
      </w:r>
      <w:r w:rsidRPr="000726DC">
        <w:rPr>
          <w:rFonts w:ascii="PT Astra Serif" w:hAnsi="PT Astra Serif" w:cs="Droid Sans Devanagari"/>
          <w:bCs/>
          <w:sz w:val="28"/>
          <w:szCs w:val="28"/>
        </w:rPr>
        <w:t>, над оценкой</w:t>
      </w:r>
      <w:proofErr w:type="gramEnd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</w:t>
      </w: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>прогнозных объемов налоговых и неналоговых доходов на очередной финансовый год консолидированного бюджета муниципального района (бюджета городского округа), рассчитанных в соответствии с методиками прогнозирования поступлений доходов в бюджеты бюджетной системы Российской Федерации на текущий год, очередной финансовый год и на плановый период, утвержденными главными администраторами доходов бюджетов бюджетной системы Российской Федерации, и суммарного расчетного объема субвенции бюджетам муниципальных районов области на</w:t>
      </w:r>
      <w:proofErr w:type="gramEnd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исполнение государственных полномочий по расчету и предоставлению дотации бюджетам поселений и дотации на выравнивание бюджетной </w:t>
      </w:r>
      <w:r w:rsidRPr="000726DC">
        <w:rPr>
          <w:rFonts w:ascii="PT Astra Serif" w:hAnsi="PT Astra Serif" w:cs="Droid Sans Devanagari"/>
          <w:bCs/>
          <w:sz w:val="28"/>
          <w:szCs w:val="28"/>
        </w:rPr>
        <w:lastRenderedPageBreak/>
        <w:t>обеспеченности муниципальных районов (городских округов) области, предусмотренных на очередной финансовый год (далее - расчетный разрыв);</w:t>
      </w:r>
    </w:p>
    <w:p w:rsidR="00743E95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  <w:lang w:val="en-US"/>
        </w:rPr>
      </w:pP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>снижение суммарного расчетного объема дотации на выравнивание бюджетной обеспеченности муниципальных районов (городских округов) области и субвенции бюджетам муниципальных районов области на исполнение государственных полномочий по расчету и предоставлению дотации бюджетам поселений, предусмотренных на очередной финансовый год, относительно суммарного объема соответствующих межбюджетных трансфертов и дотации на сбалансированность, предусмотренных на текущий год, по состоянию на 1 января текущего года по соответствующему муниципальному</w:t>
      </w:r>
      <w:proofErr w:type="gramEnd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району (городскому округу) (далее - снижение объема финансовой помощи). </w:t>
      </w:r>
      <w:proofErr w:type="gramStart"/>
      <w:r w:rsidR="00743E95" w:rsidRPr="00743E95">
        <w:rPr>
          <w:rFonts w:ascii="PT Astra Serif" w:hAnsi="PT Astra Serif" w:cs="Droid Sans Devanagari"/>
          <w:bCs/>
          <w:sz w:val="28"/>
          <w:szCs w:val="28"/>
        </w:rPr>
        <w:t>В случае преобразования в очередном финансовом году муниципального образования, входящего в состав муниципального района, путем его объединения с иным муниципальным образованием, не входящим в состав данного муниципального района, размер снижения объема финансовой помощи уменьшается на величину части средств, необходимых для доведения бюджетной обеспеченности муниципального района (городского округа) до уровня, установленного в качестве критерия выравнивания расчетной бюджетной обеспеченности муниципальных районов (городских</w:t>
      </w:r>
      <w:proofErr w:type="gramEnd"/>
      <w:r w:rsidR="00743E95" w:rsidRPr="00743E95">
        <w:rPr>
          <w:rFonts w:ascii="PT Astra Serif" w:hAnsi="PT Astra Serif" w:cs="Droid Sans Devanagari"/>
          <w:bCs/>
          <w:sz w:val="28"/>
          <w:szCs w:val="28"/>
        </w:rPr>
        <w:t xml:space="preserve"> округов), определяемых в целях расчета дотации на выравнивание бюджетной обеспеченности муниципальных районов (городских округов) на текущий финансовый год по состоянию на 1 января текущего года, в расчете на численность населения преобразованного муниципального образования.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4. Размер дотации на сбалансированность муниципальному району (городскому округу) определяется как наибольшее из значений показателей расчетного разрыва и снижения объема финансовой помощи, сложившихся по соответствующему муниципальному району (городскому округу).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>В случае внесения после принятия закона области об областном бюджете на соответствующий финансовый год и плановый период изменений в распределение дотации на выравнивание бюджетной обеспеченности муниципальных районов (городских округов) в связи с переносом срока вступления в силу закона области о преобразовании муниципальных образований области, приводящих к снижению ее размера, дотация на сбалансированность соответствующего муниципального образования подлежит увеличению на сумму указанного</w:t>
      </w:r>
      <w:proofErr w:type="gramEnd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снижения.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bookmarkStart w:id="1" w:name="P51"/>
      <w:bookmarkEnd w:id="1"/>
      <w:r w:rsidRPr="000726DC">
        <w:rPr>
          <w:rFonts w:ascii="PT Astra Serif" w:hAnsi="PT Astra Serif" w:cs="Droid Sans Devanagari"/>
          <w:bCs/>
          <w:sz w:val="28"/>
          <w:szCs w:val="28"/>
        </w:rPr>
        <w:t>5. Дотация на сбалансированность предоставляется бюджетам муниципальных районов и городских округов области в соответствии со сводной бюджетной росписью расходов областного бюджета в пределах лимитов бюджетных обязательств, утвержденных и доведенных министерством финансов области до органов, организующих исполнение местных бюджетов, ежемесячно в объеме не менее 1/12 лимитов бюджетных обязательств: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в январе текущего года - не позднее 25 января;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lastRenderedPageBreak/>
        <w:t>с 1 февраля текущего года - в течение 10 рабочих дней с начала текущего месяца.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6. Дотация на сбалансированность перечисляется министерством финансов области в бюджеты муниципальных районов и городских округов области на казначейский счет для осуществления и отражения операций по учету и распределению поступлений, открытый Управлению Федерального казначейства по Саратовской области, для последующего перечисления в установленном порядке на единый счет бюджета муниципального района (городского округа) области.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7. При возникновении в каком-либо месяце текущего года (кроме декабря) временного кассового разрыва при исполнении местного бюджета органы местного самоуправления соответствующего муниципального образования области вправе ходатайствовать перед министерством финансов области о предоставлении дотации на сбалансированность в объеме, превышающем размер, установленный в </w:t>
      </w:r>
      <w:hyperlink w:anchor="P51">
        <w:r w:rsidRPr="000726DC">
          <w:rPr>
            <w:rFonts w:ascii="PT Astra Serif" w:hAnsi="PT Astra Serif" w:cs="Droid Sans Devanagari"/>
            <w:bCs/>
            <w:sz w:val="28"/>
            <w:szCs w:val="28"/>
          </w:rPr>
          <w:t>пункте 5</w:t>
        </w:r>
      </w:hyperlink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настоящего Положения.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С этой целью не позднее 15 числа соответствующего месяца органы местного самоуправления муниципального образования области представляют в министерство финансов области расчет ожидаемого исполнения месяца, в котором прогнозируется временный кассовый разрыв, (далее - расчет) по </w:t>
      </w:r>
      <w:hyperlink r:id="rId10">
        <w:r w:rsidRPr="000726DC">
          <w:rPr>
            <w:rFonts w:ascii="PT Astra Serif" w:hAnsi="PT Astra Serif" w:cs="Droid Sans Devanagari"/>
            <w:bCs/>
            <w:sz w:val="28"/>
            <w:szCs w:val="28"/>
          </w:rPr>
          <w:t>форме</w:t>
        </w:r>
      </w:hyperlink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, установленной для сведений об исполнении бюджета муниципального образования Саратовской области за истекший период текущего финансового года, прогноза по доходам, расходам и источникам финансирования дефицита местного бюджета для рассмотрения вопроса о предоставлении бюджетного кредита, утвержденной приказом министерства финансов Саратовской области от 19 февраля 2016 года </w:t>
      </w:r>
      <w:r>
        <w:rPr>
          <w:rFonts w:ascii="PT Astra Serif" w:hAnsi="PT Astra Serif" w:cs="Droid Sans Devanagari"/>
          <w:bCs/>
          <w:sz w:val="28"/>
          <w:szCs w:val="28"/>
        </w:rPr>
        <w:t>№</w:t>
      </w:r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58.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Министерство финансов области по результатам проверки расчета принимает решение об увеличении в соответствующем месяце объема дотации на сбалансированность, но не более двух месячных размеров, муниципальному образованию области и осуществляет ее перечисление не </w:t>
      </w: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>позднее</w:t>
      </w:r>
      <w:proofErr w:type="gramEnd"/>
      <w:r w:rsidRPr="000726DC">
        <w:rPr>
          <w:rFonts w:ascii="PT Astra Serif" w:hAnsi="PT Astra Serif" w:cs="Droid Sans Devanagari"/>
          <w:bCs/>
          <w:sz w:val="28"/>
          <w:szCs w:val="28"/>
        </w:rPr>
        <w:t xml:space="preserve"> чем за 3 рабочих дня до конца текущего месяца.</w:t>
      </w:r>
    </w:p>
    <w:p w:rsidR="000726DC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Дальнейшее предоставление дотации на сбалансированность осуществляется такому муниципальному образованию области ежемесячно в объеме, рассчитанном как отношение остатка лимитов бюджетных обязательств на указанные цели к количеству месяцев до конца текущего финансового года.</w:t>
      </w:r>
    </w:p>
    <w:p w:rsidR="003C5D46" w:rsidRPr="000726DC" w:rsidRDefault="000726DC" w:rsidP="000726DC">
      <w:pPr>
        <w:pStyle w:val="ConsPlusNormal"/>
        <w:ind w:firstLine="709"/>
        <w:jc w:val="both"/>
        <w:rPr>
          <w:rFonts w:ascii="PT Astra Serif" w:hAnsi="PT Astra Serif" w:cs="Droid Sans Devanagari"/>
          <w:bCs/>
          <w:sz w:val="28"/>
          <w:szCs w:val="28"/>
        </w:rPr>
      </w:pPr>
      <w:r w:rsidRPr="000726DC">
        <w:rPr>
          <w:rFonts w:ascii="PT Astra Serif" w:hAnsi="PT Astra Serif" w:cs="Droid Sans Devanagari"/>
          <w:bCs/>
          <w:sz w:val="28"/>
          <w:szCs w:val="28"/>
        </w:rPr>
        <w:t>В случае представления органами местного самоуправления муниципального образования области расчета позднее указанной даты рассмотрение ходатайства не осуществляется</w:t>
      </w:r>
      <w:proofErr w:type="gramStart"/>
      <w:r w:rsidRPr="000726DC">
        <w:rPr>
          <w:rFonts w:ascii="PT Astra Serif" w:hAnsi="PT Astra Serif" w:cs="Droid Sans Devanagari"/>
          <w:bCs/>
          <w:sz w:val="28"/>
          <w:szCs w:val="28"/>
        </w:rPr>
        <w:t>.</w:t>
      </w:r>
      <w:r w:rsidR="00BD5BE2" w:rsidRPr="000726DC">
        <w:rPr>
          <w:rFonts w:ascii="PT Astra Serif" w:hAnsi="PT Astra Serif" w:cs="Droid Sans Devanagari"/>
          <w:bCs/>
          <w:sz w:val="28"/>
          <w:szCs w:val="28"/>
        </w:rPr>
        <w:t>»</w:t>
      </w:r>
      <w:r w:rsidR="0091058F" w:rsidRPr="000726DC">
        <w:rPr>
          <w:rFonts w:ascii="PT Astra Serif" w:hAnsi="PT Astra Serif" w:cs="Droid Sans Devanagari"/>
          <w:bCs/>
          <w:sz w:val="28"/>
          <w:szCs w:val="28"/>
        </w:rPr>
        <w:t>.</w:t>
      </w:r>
      <w:proofErr w:type="gramEnd"/>
    </w:p>
    <w:p w:rsidR="003C5D46" w:rsidRPr="00103821" w:rsidRDefault="003C5D46" w:rsidP="000C27A7">
      <w:pPr>
        <w:tabs>
          <w:tab w:val="left" w:pos="3261"/>
          <w:tab w:val="left" w:pos="6096"/>
        </w:tabs>
        <w:spacing w:line="235" w:lineRule="auto"/>
        <w:jc w:val="center"/>
        <w:rPr>
          <w:rFonts w:ascii="PT Astra Serif" w:hAnsi="PT Astra Serif"/>
          <w:bCs/>
          <w:szCs w:val="28"/>
        </w:rPr>
      </w:pPr>
    </w:p>
    <w:p w:rsidR="003C5D46" w:rsidRPr="00103821" w:rsidRDefault="00BD67CF">
      <w:pPr>
        <w:tabs>
          <w:tab w:val="left" w:pos="3261"/>
          <w:tab w:val="left" w:pos="6096"/>
        </w:tabs>
        <w:jc w:val="center"/>
        <w:rPr>
          <w:rFonts w:ascii="PT Astra Serif" w:hAnsi="PT Astra Serif"/>
          <w:bCs/>
          <w:szCs w:val="28"/>
        </w:rPr>
      </w:pPr>
      <w:r w:rsidRPr="00103821">
        <w:rPr>
          <w:rFonts w:ascii="PT Astra Serif" w:hAnsi="PT Astra Serif"/>
          <w:bCs/>
          <w:szCs w:val="28"/>
        </w:rPr>
        <w:t>________________________</w:t>
      </w:r>
    </w:p>
    <w:sectPr w:rsidR="003C5D46" w:rsidRPr="00103821">
      <w:headerReference w:type="default" r:id="rId11"/>
      <w:pgSz w:w="11906" w:h="16838"/>
      <w:pgMar w:top="1134" w:right="851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C88" w:rsidRDefault="00BD67CF">
      <w:r>
        <w:separator/>
      </w:r>
    </w:p>
  </w:endnote>
  <w:endnote w:type="continuationSeparator" w:id="0">
    <w:p w:rsidR="00966C88" w:rsidRDefault="00BD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C88" w:rsidRDefault="00BD67CF">
      <w:r>
        <w:separator/>
      </w:r>
    </w:p>
  </w:footnote>
  <w:footnote w:type="continuationSeparator" w:id="0">
    <w:p w:rsidR="00966C88" w:rsidRDefault="00BD6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D46" w:rsidRDefault="00BD67CF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0170" cy="20383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5D46" w:rsidRDefault="00BD67CF">
                          <w:pPr>
                            <w:pStyle w:val="af9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>PAGE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743E95">
                            <w:rPr>
                              <w:rStyle w:val="a5"/>
                              <w:noProof/>
                            </w:rPr>
                            <w:t>3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7.1pt;height:16.0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" o:allowincell="f" filled="f" stroked="f" strokeweight="0">
              <v:textbox style="mso-fit-shape-to-text:t" inset="0,0,0,0">
                <w:txbxContent>
                  <w:p w:rsidR="003C5D46" w:rsidRDefault="00BD67CF">
                    <w:pPr>
                      <w:pStyle w:val="af9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>PAGE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743E95">
                      <w:rPr>
                        <w:rStyle w:val="a5"/>
                        <w:noProof/>
                      </w:rPr>
                      <w:t>3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46"/>
    <w:rsid w:val="0004591D"/>
    <w:rsid w:val="000726DC"/>
    <w:rsid w:val="00084E26"/>
    <w:rsid w:val="00086D88"/>
    <w:rsid w:val="00087497"/>
    <w:rsid w:val="000C27A7"/>
    <w:rsid w:val="000D3814"/>
    <w:rsid w:val="000E1DA9"/>
    <w:rsid w:val="00103821"/>
    <w:rsid w:val="00133EF5"/>
    <w:rsid w:val="001A4120"/>
    <w:rsid w:val="001B5966"/>
    <w:rsid w:val="002411CC"/>
    <w:rsid w:val="002512F0"/>
    <w:rsid w:val="002652E9"/>
    <w:rsid w:val="002C74F7"/>
    <w:rsid w:val="002E193D"/>
    <w:rsid w:val="002F53B0"/>
    <w:rsid w:val="00320121"/>
    <w:rsid w:val="00323288"/>
    <w:rsid w:val="00367234"/>
    <w:rsid w:val="003C5C53"/>
    <w:rsid w:val="003C5D46"/>
    <w:rsid w:val="00432C0D"/>
    <w:rsid w:val="00451FA2"/>
    <w:rsid w:val="00453C63"/>
    <w:rsid w:val="004D49D2"/>
    <w:rsid w:val="004F1492"/>
    <w:rsid w:val="004F6DD1"/>
    <w:rsid w:val="00513EF9"/>
    <w:rsid w:val="00557D2F"/>
    <w:rsid w:val="00577678"/>
    <w:rsid w:val="0059540A"/>
    <w:rsid w:val="005D43B8"/>
    <w:rsid w:val="00743E95"/>
    <w:rsid w:val="007A3114"/>
    <w:rsid w:val="007A5E7D"/>
    <w:rsid w:val="007F1176"/>
    <w:rsid w:val="008035DA"/>
    <w:rsid w:val="008C0409"/>
    <w:rsid w:val="0091058F"/>
    <w:rsid w:val="00966C88"/>
    <w:rsid w:val="00984634"/>
    <w:rsid w:val="00A0314B"/>
    <w:rsid w:val="00AD60D6"/>
    <w:rsid w:val="00B10220"/>
    <w:rsid w:val="00B3491F"/>
    <w:rsid w:val="00BD5BE2"/>
    <w:rsid w:val="00BD67CF"/>
    <w:rsid w:val="00C83AA9"/>
    <w:rsid w:val="00C86D5B"/>
    <w:rsid w:val="00CB5BF6"/>
    <w:rsid w:val="00CD4381"/>
    <w:rsid w:val="00D12AD2"/>
    <w:rsid w:val="00DB654C"/>
    <w:rsid w:val="00DD67CB"/>
    <w:rsid w:val="00E84402"/>
    <w:rsid w:val="00E854AB"/>
    <w:rsid w:val="00E93F70"/>
    <w:rsid w:val="00EB01F7"/>
    <w:rsid w:val="00ED120F"/>
    <w:rsid w:val="00EE5A5E"/>
    <w:rsid w:val="00F31A98"/>
    <w:rsid w:val="00F53B1F"/>
    <w:rsid w:val="00F60B15"/>
    <w:rsid w:val="00F6109E"/>
    <w:rsid w:val="00F9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Droid Sans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6"/>
    </w:rPr>
  </w:style>
  <w:style w:type="paragraph" w:styleId="1">
    <w:name w:val="heading 1"/>
    <w:basedOn w:val="a"/>
    <w:qFormat/>
    <w:pPr>
      <w:keepNext/>
      <w:widowControl w:val="0"/>
      <w:ind w:firstLine="70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1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20">
    <w:name w:val="Оглавление 2 Знак"/>
    <w:basedOn w:val="a0"/>
    <w:link w:val="2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5">
    <w:name w:val="page number"/>
    <w:basedOn w:val="a0"/>
    <w:qFormat/>
  </w:style>
  <w:style w:type="character" w:customStyle="1" w:styleId="a6">
    <w:name w:val="Нижний колонтитул Знак"/>
    <w:basedOn w:val="a0"/>
    <w:uiPriority w:val="99"/>
    <w:qFormat/>
    <w:rPr>
      <w:sz w:val="28"/>
      <w:szCs w:val="26"/>
      <w:lang w:val="ru-RU" w:eastAsia="ru-RU" w:bidi="ar-SA"/>
    </w:rPr>
  </w:style>
  <w:style w:type="character" w:customStyle="1" w:styleId="11">
    <w:name w:val="Заголовок 1 Знак"/>
    <w:basedOn w:val="a0"/>
    <w:qFormat/>
    <w:rPr>
      <w:b/>
      <w:sz w:val="28"/>
    </w:rPr>
  </w:style>
  <w:style w:type="character" w:customStyle="1" w:styleId="a7">
    <w:name w:val="Название Знак"/>
    <w:basedOn w:val="a0"/>
    <w:qFormat/>
    <w:rPr>
      <w:b/>
      <w:bCs/>
      <w:sz w:val="28"/>
      <w:szCs w:val="24"/>
    </w:rPr>
  </w:style>
  <w:style w:type="character" w:customStyle="1" w:styleId="a8">
    <w:name w:val="Цветовое выделение"/>
    <w:uiPriority w:val="99"/>
    <w:qFormat/>
    <w:rPr>
      <w:b/>
      <w:bCs/>
      <w:color w:val="26282F"/>
      <w:sz w:val="26"/>
      <w:szCs w:val="26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Pr>
      <w:sz w:val="28"/>
      <w:szCs w:val="26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ac">
    <w:name w:val="Выделенная цитата Знак"/>
    <w:basedOn w:val="a0"/>
    <w:uiPriority w:val="30"/>
    <w:qFormat/>
    <w:rPr>
      <w:b/>
      <w:bCs/>
      <w:i/>
      <w:iCs/>
      <w:color w:val="4F81BD" w:themeColor="accent1"/>
      <w:sz w:val="28"/>
      <w:szCs w:val="26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hAnsi="Liberation Sans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1">
    <w:name w:val="index heading"/>
    <w:basedOn w:val="a"/>
    <w:qFormat/>
    <w:pPr>
      <w:suppressLineNumbers/>
    </w:pPr>
  </w:style>
  <w:style w:type="paragraph" w:styleId="af2">
    <w:name w:val="No Spacing"/>
    <w:uiPriority w:val="1"/>
    <w:qFormat/>
  </w:style>
  <w:style w:type="paragraph" w:styleId="af3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4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uiPriority w:val="99"/>
    <w:semiHidden/>
    <w:unhideWhenUsed/>
    <w:rPr>
      <w:sz w:val="20"/>
    </w:rPr>
  </w:style>
  <w:style w:type="paragraph" w:styleId="12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</w:style>
  <w:style w:type="paragraph" w:styleId="af7">
    <w:name w:val="table of figures"/>
    <w:basedOn w:val="a"/>
    <w:uiPriority w:val="99"/>
    <w:unhideWhenUsed/>
    <w:qFormat/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60">
    <w:name w:val="Заголовок 6 Знак"/>
    <w:basedOn w:val="afa"/>
    <w:link w:val="6"/>
    <w:qFormat/>
    <w:rPr>
      <w:sz w:val="16"/>
    </w:rPr>
  </w:style>
  <w:style w:type="paragraph" w:customStyle="1" w:styleId="ConsPlusNormal">
    <w:name w:val="ConsPlusNormal"/>
    <w:qFormat/>
    <w:pPr>
      <w:ind w:firstLine="720"/>
    </w:pPr>
    <w:rPr>
      <w:rFonts w:ascii="Arial" w:hAnsi="Arial" w:cs="Arial"/>
    </w:rPr>
  </w:style>
  <w:style w:type="paragraph" w:styleId="afb">
    <w:name w:val="Balloon Text"/>
    <w:basedOn w:val="a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Arial" w:hAnsi="Arial" w:cs="Arial"/>
    </w:rPr>
  </w:style>
  <w:style w:type="paragraph" w:customStyle="1" w:styleId="10">
    <w:name w:val="Знак Знак Знак Знак1"/>
    <w:basedOn w:val="a"/>
    <w:link w:val="Heading2Char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qFormat/>
    <w:pPr>
      <w:ind w:firstLine="709"/>
    </w:pPr>
    <w:rPr>
      <w:rFonts w:ascii="Arial" w:hAnsi="Arial" w:cs="Arial"/>
      <w:b/>
      <w:bCs/>
    </w:rPr>
  </w:style>
  <w:style w:type="paragraph" w:styleId="afc">
    <w:name w:val="Title"/>
    <w:basedOn w:val="a"/>
    <w:qFormat/>
    <w:pPr>
      <w:ind w:firstLine="709"/>
      <w:jc w:val="center"/>
    </w:pPr>
    <w:rPr>
      <w:b/>
      <w:bCs/>
      <w:sz w:val="24"/>
      <w:szCs w:val="24"/>
    </w:rPr>
  </w:style>
  <w:style w:type="paragraph" w:customStyle="1" w:styleId="afd">
    <w:name w:val="Таблицы (моноширинный)"/>
    <w:basedOn w:val="a"/>
    <w:uiPriority w:val="99"/>
    <w:qFormat/>
    <w:pPr>
      <w:widowControl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e">
    <w:name w:val="Нормальный (таблица)"/>
    <w:basedOn w:val="a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ff">
    <w:name w:val="Прижатый влево"/>
    <w:basedOn w:val="a"/>
    <w:uiPriority w:val="99"/>
    <w:qFormat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Intense Quote"/>
    <w:basedOn w:val="a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aff2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ahoma" w:hAnsi="Times New Roman" w:cs="Droid Sans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6"/>
    </w:rPr>
  </w:style>
  <w:style w:type="paragraph" w:styleId="1">
    <w:name w:val="heading 1"/>
    <w:basedOn w:val="a"/>
    <w:qFormat/>
    <w:pPr>
      <w:keepNext/>
      <w:widowControl w:val="0"/>
      <w:ind w:firstLine="70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1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20">
    <w:name w:val="Оглавление 2 Знак"/>
    <w:basedOn w:val="a0"/>
    <w:link w:val="2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5">
    <w:name w:val="page number"/>
    <w:basedOn w:val="a0"/>
    <w:qFormat/>
  </w:style>
  <w:style w:type="character" w:customStyle="1" w:styleId="a6">
    <w:name w:val="Нижний колонтитул Знак"/>
    <w:basedOn w:val="a0"/>
    <w:uiPriority w:val="99"/>
    <w:qFormat/>
    <w:rPr>
      <w:sz w:val="28"/>
      <w:szCs w:val="26"/>
      <w:lang w:val="ru-RU" w:eastAsia="ru-RU" w:bidi="ar-SA"/>
    </w:rPr>
  </w:style>
  <w:style w:type="character" w:customStyle="1" w:styleId="11">
    <w:name w:val="Заголовок 1 Знак"/>
    <w:basedOn w:val="a0"/>
    <w:qFormat/>
    <w:rPr>
      <w:b/>
      <w:sz w:val="28"/>
    </w:rPr>
  </w:style>
  <w:style w:type="character" w:customStyle="1" w:styleId="a7">
    <w:name w:val="Название Знак"/>
    <w:basedOn w:val="a0"/>
    <w:qFormat/>
    <w:rPr>
      <w:b/>
      <w:bCs/>
      <w:sz w:val="28"/>
      <w:szCs w:val="24"/>
    </w:rPr>
  </w:style>
  <w:style w:type="character" w:customStyle="1" w:styleId="a8">
    <w:name w:val="Цветовое выделение"/>
    <w:uiPriority w:val="99"/>
    <w:qFormat/>
    <w:rPr>
      <w:b/>
      <w:bCs/>
      <w:color w:val="26282F"/>
      <w:sz w:val="26"/>
      <w:szCs w:val="26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Pr>
      <w:sz w:val="28"/>
      <w:szCs w:val="26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ac">
    <w:name w:val="Выделенная цитата Знак"/>
    <w:basedOn w:val="a0"/>
    <w:uiPriority w:val="30"/>
    <w:qFormat/>
    <w:rPr>
      <w:b/>
      <w:bCs/>
      <w:i/>
      <w:iCs/>
      <w:color w:val="4F81BD" w:themeColor="accent1"/>
      <w:sz w:val="28"/>
      <w:szCs w:val="26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hAnsi="Liberation Sans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1">
    <w:name w:val="index heading"/>
    <w:basedOn w:val="a"/>
    <w:qFormat/>
    <w:pPr>
      <w:suppressLineNumbers/>
    </w:pPr>
  </w:style>
  <w:style w:type="paragraph" w:styleId="af2">
    <w:name w:val="No Spacing"/>
    <w:uiPriority w:val="1"/>
    <w:qFormat/>
  </w:style>
  <w:style w:type="paragraph" w:styleId="af3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4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uiPriority w:val="99"/>
    <w:semiHidden/>
    <w:unhideWhenUsed/>
    <w:rPr>
      <w:sz w:val="20"/>
    </w:rPr>
  </w:style>
  <w:style w:type="paragraph" w:styleId="12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</w:style>
  <w:style w:type="paragraph" w:styleId="af7">
    <w:name w:val="table of figures"/>
    <w:basedOn w:val="a"/>
    <w:uiPriority w:val="99"/>
    <w:unhideWhenUsed/>
    <w:qFormat/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60">
    <w:name w:val="Заголовок 6 Знак"/>
    <w:basedOn w:val="afa"/>
    <w:link w:val="6"/>
    <w:qFormat/>
    <w:rPr>
      <w:sz w:val="16"/>
    </w:rPr>
  </w:style>
  <w:style w:type="paragraph" w:customStyle="1" w:styleId="ConsPlusNormal">
    <w:name w:val="ConsPlusNormal"/>
    <w:qFormat/>
    <w:pPr>
      <w:ind w:firstLine="720"/>
    </w:pPr>
    <w:rPr>
      <w:rFonts w:ascii="Arial" w:hAnsi="Arial" w:cs="Arial"/>
    </w:rPr>
  </w:style>
  <w:style w:type="paragraph" w:styleId="afb">
    <w:name w:val="Balloon Text"/>
    <w:basedOn w:val="a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Arial" w:hAnsi="Arial" w:cs="Arial"/>
    </w:rPr>
  </w:style>
  <w:style w:type="paragraph" w:customStyle="1" w:styleId="10">
    <w:name w:val="Знак Знак Знак Знак1"/>
    <w:basedOn w:val="a"/>
    <w:link w:val="Heading2Char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qFormat/>
    <w:pPr>
      <w:ind w:firstLine="709"/>
    </w:pPr>
    <w:rPr>
      <w:rFonts w:ascii="Arial" w:hAnsi="Arial" w:cs="Arial"/>
      <w:b/>
      <w:bCs/>
    </w:rPr>
  </w:style>
  <w:style w:type="paragraph" w:styleId="afc">
    <w:name w:val="Title"/>
    <w:basedOn w:val="a"/>
    <w:qFormat/>
    <w:pPr>
      <w:ind w:firstLine="709"/>
      <w:jc w:val="center"/>
    </w:pPr>
    <w:rPr>
      <w:b/>
      <w:bCs/>
      <w:sz w:val="24"/>
      <w:szCs w:val="24"/>
    </w:rPr>
  </w:style>
  <w:style w:type="paragraph" w:customStyle="1" w:styleId="afd">
    <w:name w:val="Таблицы (моноширинный)"/>
    <w:basedOn w:val="a"/>
    <w:uiPriority w:val="99"/>
    <w:qFormat/>
    <w:pPr>
      <w:widowControl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e">
    <w:name w:val="Нормальный (таблица)"/>
    <w:basedOn w:val="a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ff">
    <w:name w:val="Прижатый влево"/>
    <w:basedOn w:val="a"/>
    <w:uiPriority w:val="99"/>
    <w:qFormat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Intense Quote"/>
    <w:basedOn w:val="a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aff2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358&amp;n=154922&amp;dst=1042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358&amp;n=161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AF78FAF9-44D8-45AC-88CE-370CAF98E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Коченюк Татьяна Анатольевна</cp:lastModifiedBy>
  <cp:revision>6</cp:revision>
  <cp:lastPrinted>2021-12-21T05:15:00Z</cp:lastPrinted>
  <dcterms:created xsi:type="dcterms:W3CDTF">2022-12-12T07:47:00Z</dcterms:created>
  <dcterms:modified xsi:type="dcterms:W3CDTF">2024-10-17T11:19:00Z</dcterms:modified>
  <dc:language>ru-RU</dc:language>
</cp:coreProperties>
</file>